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79" w:type="dxa"/>
        <w:jc w:val="center"/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BD512D">
        <w:trPr>
          <w:trHeight w:val="274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7A7705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E7228C" w:rsidTr="00BD512D">
        <w:trPr>
          <w:trHeight w:val="278"/>
          <w:jc w:val="center"/>
        </w:trPr>
        <w:tc>
          <w:tcPr>
            <w:tcW w:w="3114" w:type="dxa"/>
          </w:tcPr>
          <w:p w:rsidR="004B6519" w:rsidRPr="00E7228C" w:rsidRDefault="004B6519" w:rsidP="00E7228C">
            <w:pPr>
              <w:rPr>
                <w:rFonts w:ascii="Times New Roman" w:hAnsi="Times New Roman" w:cs="Times New Roman"/>
              </w:rPr>
            </w:pPr>
            <w:r w:rsidRPr="00E7228C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7665" w:type="dxa"/>
          </w:tcPr>
          <w:p w:rsidR="004B6519" w:rsidRPr="00E7228C" w:rsidRDefault="00E7228C" w:rsidP="00E7228C">
            <w:pPr>
              <w:rPr>
                <w:rFonts w:ascii="Times New Roman" w:hAnsi="Times New Roman" w:cs="Times New Roman"/>
              </w:rPr>
            </w:pPr>
            <w:r w:rsidRPr="00E7228C">
              <w:rPr>
                <w:rFonts w:ascii="Times New Roman" w:hAnsi="Times New Roman" w:cs="Times New Roman"/>
              </w:rPr>
              <w:t>Memur – Bilgisayar İşletmeni- Şef</w:t>
            </w:r>
          </w:p>
        </w:tc>
      </w:tr>
      <w:tr w:rsidR="004B6519" w:rsidRPr="008F1F14" w:rsidTr="00BD512D">
        <w:trPr>
          <w:trHeight w:val="267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136599" w:rsidP="00BD5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Üst Yönetici</w:t>
            </w:r>
          </w:p>
        </w:tc>
      </w:tr>
      <w:tr w:rsidR="004B6519" w:rsidRPr="008F1F14" w:rsidTr="00BD512D">
        <w:trPr>
          <w:trHeight w:val="558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BD51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</w:tcPr>
          <w:p w:rsidR="003F7280" w:rsidRPr="00322F61" w:rsidRDefault="007A13B6" w:rsidP="00322F61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GÖREVİ VE SORUMLUKLULAR:</w:t>
            </w:r>
            <w:r w:rsidRPr="007A13B6">
              <w:rPr>
                <w:rFonts w:ascii="Times New Roman" w:hAnsi="Times New Roman" w:cs="Times New Roman"/>
                <w:vanish/>
                <w:color w:val="3B5564"/>
                <w:sz w:val="24"/>
                <w:szCs w:val="24"/>
                <w:u w:val="single"/>
              </w:rPr>
              <w:t> 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Harcama birimince edinilen taşınırlardan muayene ve kabulü yapılanları cins ve niteliklerine göre sayarak,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tartarak, ölçerek teslim almak, doğrudan tüketilmeyen ve kullanıma verilmeyen taşınırları sorumluluğundaki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</w:t>
            </w:r>
            <w:bookmarkStart w:id="0" w:name="_GoBack"/>
            <w:bookmarkEnd w:id="0"/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arlarda muhafaza etmek.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Muayene ve kabul işlemi hemen yapılamayan taşınırları kontrol ederek teslim almak, özellikleri nedeniyle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kesin kabulleri belli bir dönem kullanıldıktan sonra yapılabilen sarf malzemeleri hariç olmak üzere, bunların kesin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kabulü yapılmadan kullanıma verilmesini önlemek.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Taşınırların giriş ve çıkışına ilişkin kayıtları tutmak, bunlara ilişkin belge ve cetvelleri düzenlemek ve taşınır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 yönetim hesap cetvellerini istenilmesi halinde konsolide görevlisine göndermek.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Tüketime veya kullanıma verilmesi uygun görülen taşınırları ilgililere teslim etmek.</w:t>
            </w:r>
          </w:p>
          <w:p w:rsid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Taşınırların yangına, ıslanmaya, bozulmaya, çalınmaya ve benzeri tehlikelere karşı korunması için gerekli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tedbirleri almak ve alınmasını sağlamak.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Ambarda çalınma veya olağanüstü nedenlerden dolayı meydana gelen azalmaları harcama yetkilisine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bildirmek.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Ambar sayımını ve stok kontrolünü yapmak, harcama yetkilisince belirlenen asgari stok seviyesinin altına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düşen taşınırları harcama yetkilisine bildirmek.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Kullanımda bulunan dayanıklı taşınırları bulundukları yerde kontrol etmek, sayımlarını yapmak 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yaptırmak.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Harcama biriminin malzeme ihtiyaç planlamasının yapılmasına yardımcı olmak.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Kayıtlarını tuttuğu taşınırların yönetim hesabını hazırlamak ve harcama yetkilisine sunulmak üzere taşınır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kontrol yetkilisine teslim etmek.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Ambarlarında kasıt, kusur, ihmal veya tedbirsizlikleri nedeniyle meydana gelen kayıp ve noksanlıklardan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 olmak.</w:t>
            </w:r>
          </w:p>
          <w:p w:rsidR="004278D8" w:rsidRPr="004278D8" w:rsidRDefault="004278D8" w:rsidP="004278D8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27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Ambarlarını devir ve teslim etmeden, görevlerinden ayrılmamak.</w:t>
            </w:r>
          </w:p>
          <w:p w:rsidR="003F7280" w:rsidRPr="003F7280" w:rsidRDefault="003F7280" w:rsidP="00BD512D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Taşınırların yılsonu sayım işlemlerini yaparak sayım cetvellerini düzenler ve Strateji Geliştirme Dairesi Başkanlığına iletmek.</w:t>
            </w:r>
          </w:p>
          <w:p w:rsidR="003F7280" w:rsidRPr="003F7280" w:rsidRDefault="003F7280" w:rsidP="00BD512D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Taşınır işlem fişi, zimmet fişi, sayım tutanağı vb. evrakların </w:t>
            </w: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düzenlenmesini, kayıt altına alınmasını ve arşivlenmesini sağlamak.</w:t>
            </w:r>
          </w:p>
          <w:p w:rsidR="003F7280" w:rsidRPr="003F7280" w:rsidRDefault="003F7280" w:rsidP="00BD512D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Kullanımdan düşen demirbaş malzemelerinin tespitini yapmak, Değer Tespit Komisyonuna bildirmek.</w:t>
            </w:r>
          </w:p>
          <w:p w:rsidR="003F7280" w:rsidRDefault="003F7280" w:rsidP="00BD512D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Tüketim ve demirbaş malzemelerinin alım evraklarında maddi hatanın bulunmamasını sağlamak.</w:t>
            </w:r>
          </w:p>
          <w:p w:rsidR="004459F1" w:rsidRPr="003F7280" w:rsidRDefault="004459F1" w:rsidP="00BD512D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Taşınır Kontrol Yetkilisi ile birlikte düzenledikleri belge ve cetvellerin doğruluğundan harcama yetkilisine karşı sorumludur.</w:t>
            </w:r>
          </w:p>
          <w:p w:rsidR="003F7280" w:rsidRDefault="003F7280" w:rsidP="00BD512D">
            <w:pPr>
              <w:numPr>
                <w:ilvl w:val="1"/>
                <w:numId w:val="7"/>
              </w:numPr>
              <w:tabs>
                <w:tab w:val="left" w:pos="36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Sorumluluğunda olan işlerle ilgili diğer </w:t>
            </w:r>
            <w:r w:rsidR="00242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Yüksekokulu</w:t>
            </w:r>
            <w:r w:rsidR="00341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F7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personelleriyle koordineli ve uyumlu çalışmak.</w:t>
            </w:r>
          </w:p>
          <w:p w:rsidR="004278D8" w:rsidRPr="003F7280" w:rsidRDefault="004278D8" w:rsidP="004278D8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322F61" w:rsidRDefault="00322F61" w:rsidP="00BD512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7A13B6" w:rsidRPr="007A13B6" w:rsidRDefault="007A13B6" w:rsidP="00BD512D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YETKİLERİ:</w:t>
            </w:r>
          </w:p>
          <w:p w:rsidR="007A13B6" w:rsidRPr="007A13B6" w:rsidRDefault="007A13B6" w:rsidP="00BD5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A13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Yukarıda belirtilen görev ve sorumlulukları gerçekleştirme yetkisine sahip olmak.</w:t>
            </w:r>
          </w:p>
          <w:p w:rsidR="006E274B" w:rsidRPr="00E45666" w:rsidRDefault="007A13B6" w:rsidP="00BD51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rPr>
                <w:color w:val="1A1A1A"/>
              </w:rPr>
            </w:pPr>
            <w:r w:rsidRPr="007A13B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Faaliyetlerinin gerektirdiği her türlü araç, gereç ve malzemeyi kullanabilmek.</w:t>
            </w:r>
          </w:p>
        </w:tc>
      </w:tr>
      <w:tr w:rsidR="004B6519" w:rsidRPr="008F1F14" w:rsidTr="00BD512D">
        <w:trPr>
          <w:trHeight w:val="566"/>
          <w:jc w:val="center"/>
        </w:trPr>
        <w:tc>
          <w:tcPr>
            <w:tcW w:w="3114" w:type="dxa"/>
          </w:tcPr>
          <w:p w:rsidR="004B6519" w:rsidRPr="008F1F14" w:rsidRDefault="004B6519" w:rsidP="00BD512D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</w:tcPr>
          <w:p w:rsidR="003F7280" w:rsidRPr="003F7280" w:rsidRDefault="003F7280" w:rsidP="00BD512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657 Sayılı Devlet Memurları Kanun’unda belirtilen genel niteliklere sahip olmak.</w:t>
            </w:r>
          </w:p>
          <w:p w:rsidR="003F7280" w:rsidRPr="003F7280" w:rsidRDefault="003F7280" w:rsidP="00BD512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En az lise veya dengi okul mezunu olmak.</w:t>
            </w:r>
          </w:p>
          <w:p w:rsidR="003F7280" w:rsidRPr="003F7280" w:rsidRDefault="003F7280" w:rsidP="00BD512D">
            <w:pPr>
              <w:numPr>
                <w:ilvl w:val="0"/>
                <w:numId w:val="7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Taşınır işlemleri ile ilgili mevzuatı bilmek.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Görevini gereği gibi yerine getirebilmek için gerekli iş deneyimine sahip olmak. </w:t>
            </w:r>
          </w:p>
          <w:p w:rsidR="003F7280" w:rsidRPr="003F7280" w:rsidRDefault="000F1408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MYS,</w:t>
            </w:r>
            <w:r w:rsidR="00322F6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 </w:t>
            </w:r>
            <w:r w:rsidR="003F7280"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 xml:space="preserve">TKYS, EKAP programlarını kullanabilmek. 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EBYS kullanabilmek.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Ofis programları kullanabilmek. (Word, Excel, PowerPoint)</w:t>
            </w:r>
          </w:p>
          <w:p w:rsidR="003F7280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SMS programı kullanabilmek.</w:t>
            </w:r>
          </w:p>
          <w:p w:rsidR="00F34A52" w:rsidRPr="003F7280" w:rsidRDefault="003F7280" w:rsidP="00BD512D">
            <w:pPr>
              <w:numPr>
                <w:ilvl w:val="0"/>
                <w:numId w:val="17"/>
              </w:numPr>
              <w:tabs>
                <w:tab w:val="left" w:pos="42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F7280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tr-TR"/>
              </w:rPr>
              <w:t>e-posta programı kullanabilmek.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CD7EF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BD" w:rsidRDefault="000366BD" w:rsidP="004B6519">
      <w:pPr>
        <w:spacing w:after="0" w:line="240" w:lineRule="auto"/>
      </w:pPr>
      <w:r>
        <w:separator/>
      </w:r>
    </w:p>
  </w:endnote>
  <w:endnote w:type="continuationSeparator" w:id="0">
    <w:p w:rsidR="000366BD" w:rsidRDefault="000366BD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19" w:rsidRDefault="004B6519">
    <w:pPr>
      <w:pStyle w:val="Altbilgi"/>
    </w:pPr>
  </w:p>
  <w:tbl>
    <w:tblPr>
      <w:tblW w:w="100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3402"/>
      <w:gridCol w:w="3416"/>
    </w:tblGrid>
    <w:tr w:rsidR="00CD7EF9" w:rsidRPr="00072166" w:rsidTr="00DE5C8A">
      <w:trPr>
        <w:trHeight w:val="380"/>
      </w:trPr>
      <w:tc>
        <w:tcPr>
          <w:tcW w:w="3261" w:type="dxa"/>
          <w:vAlign w:val="bottom"/>
        </w:tcPr>
        <w:p w:rsidR="00CD7EF9" w:rsidRPr="00AE6D38" w:rsidRDefault="00CD7EF9" w:rsidP="00CD7EF9">
          <w:pPr>
            <w:tabs>
              <w:tab w:val="left" w:pos="0"/>
            </w:tabs>
            <w:ind w:left="-392" w:firstLine="392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402" w:type="dxa"/>
          <w:vAlign w:val="bottom"/>
        </w:tcPr>
        <w:p w:rsidR="00CD7EF9" w:rsidRPr="00AE6D38" w:rsidRDefault="00CD7EF9" w:rsidP="00CD7EF9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16" w:type="dxa"/>
          <w:vAlign w:val="bottom"/>
        </w:tcPr>
        <w:p w:rsidR="00CD7EF9" w:rsidRPr="00AE6D38" w:rsidRDefault="00CD7EF9" w:rsidP="00CD7EF9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CD7EF9" w:rsidRPr="00072166" w:rsidTr="00DE5C8A">
      <w:trPr>
        <w:trHeight w:val="950"/>
      </w:trPr>
      <w:tc>
        <w:tcPr>
          <w:tcW w:w="3261" w:type="dxa"/>
          <w:vAlign w:val="center"/>
        </w:tcPr>
        <w:p w:rsidR="00CD7EF9" w:rsidRPr="00A96F44" w:rsidRDefault="00CD7EF9" w:rsidP="00CD7EF9">
          <w:pPr>
            <w:jc w:val="center"/>
          </w:pPr>
          <w:r>
            <w:t>Bülent YAVUZ</w:t>
          </w:r>
        </w:p>
      </w:tc>
      <w:tc>
        <w:tcPr>
          <w:tcW w:w="3402" w:type="dxa"/>
          <w:vAlign w:val="center"/>
        </w:tcPr>
        <w:p w:rsidR="00CD7EF9" w:rsidRDefault="00CD7EF9" w:rsidP="00CD7EF9">
          <w:pPr>
            <w:jc w:val="center"/>
          </w:pPr>
          <w:r>
            <w:t>Kalite Koordinatörlüğü</w:t>
          </w:r>
        </w:p>
      </w:tc>
      <w:tc>
        <w:tcPr>
          <w:tcW w:w="3416" w:type="dxa"/>
          <w:vAlign w:val="center"/>
        </w:tcPr>
        <w:p w:rsidR="00CD7EF9" w:rsidRDefault="00CD7EF9" w:rsidP="00CD7EF9">
          <w:pPr>
            <w:jc w:val="center"/>
          </w:pPr>
          <w:r>
            <w:t>Prof. Dr. Bülent ŞENGÖRÜR</w:t>
          </w:r>
        </w:p>
      </w:tc>
    </w:tr>
  </w:tbl>
  <w:p w:rsidR="004B6519" w:rsidRPr="00350A41" w:rsidRDefault="004B6519" w:rsidP="004B6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Neziha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Tarihi:</w:t>
    </w:r>
    <w:r>
      <w:rPr>
        <w:sz w:val="18"/>
        <w:szCs w:val="18"/>
      </w:rPr>
      <w:t>;</w:t>
    </w:r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BD" w:rsidRDefault="000366BD" w:rsidP="004B6519">
      <w:pPr>
        <w:spacing w:after="0" w:line="240" w:lineRule="auto"/>
      </w:pPr>
      <w:r>
        <w:separator/>
      </w:r>
    </w:p>
  </w:footnote>
  <w:footnote w:type="continuationSeparator" w:id="0">
    <w:p w:rsidR="000366BD" w:rsidRDefault="000366BD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26"/>
      <w:tblW w:w="1084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439"/>
      <w:gridCol w:w="6318"/>
      <w:gridCol w:w="1508"/>
      <w:gridCol w:w="1577"/>
    </w:tblGrid>
    <w:tr w:rsidR="001778A7" w:rsidRPr="008F1F14" w:rsidTr="00ED0997">
      <w:trPr>
        <w:trHeight w:val="263"/>
      </w:trPr>
      <w:tc>
        <w:tcPr>
          <w:tcW w:w="1439" w:type="dxa"/>
          <w:vMerge w:val="restart"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  <w:r w:rsidRPr="008F1F14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80719E1" wp14:editId="7378B842">
                <wp:extent cx="714375" cy="809625"/>
                <wp:effectExtent l="0" t="0" r="0" b="9525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vMerge w:val="restart"/>
          <w:vAlign w:val="bottom"/>
        </w:tcPr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  <w:b/>
              <w:i/>
              <w:sz w:val="36"/>
              <w:szCs w:val="36"/>
            </w:rPr>
          </w:pPr>
          <w:r>
            <w:rPr>
              <w:rFonts w:ascii="Times New Roman" w:hAnsi="Times New Roman"/>
              <w:b/>
              <w:i/>
              <w:sz w:val="36"/>
              <w:szCs w:val="36"/>
            </w:rPr>
            <w:t>TAŞINIR KAYIT YETKİLİSİ</w:t>
          </w:r>
        </w:p>
        <w:p w:rsidR="001778A7" w:rsidRPr="008F1F14" w:rsidRDefault="001778A7" w:rsidP="001778A7">
          <w:pPr>
            <w:pStyle w:val="AralkYok"/>
            <w:rPr>
              <w:rFonts w:ascii="Times New Roman" w:hAnsi="Times New Roman"/>
              <w:b/>
              <w:i/>
              <w:sz w:val="36"/>
              <w:szCs w:val="36"/>
            </w:rPr>
          </w:pPr>
        </w:p>
        <w:p w:rsidR="001778A7" w:rsidRPr="008F1F14" w:rsidRDefault="001778A7" w:rsidP="001778A7">
          <w:pPr>
            <w:pStyle w:val="AralkYok"/>
            <w:jc w:val="center"/>
            <w:rPr>
              <w:rFonts w:ascii="Times New Roman" w:hAnsi="Times New Roman"/>
            </w:rPr>
          </w:pPr>
        </w:p>
      </w:tc>
      <w:tc>
        <w:tcPr>
          <w:tcW w:w="1508" w:type="dxa"/>
          <w:vAlign w:val="bottom"/>
        </w:tcPr>
        <w:p w:rsidR="001778A7" w:rsidRPr="00ED7AAC" w:rsidRDefault="001778A7" w:rsidP="001778A7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 w:rsidRPr="00ED7AAC">
            <w:rPr>
              <w:rFonts w:ascii="Times New Roman" w:hAnsi="Times New Roman"/>
              <w:sz w:val="20"/>
              <w:szCs w:val="20"/>
            </w:rPr>
            <w:t>Doküman No</w:t>
          </w:r>
        </w:p>
      </w:tc>
      <w:tc>
        <w:tcPr>
          <w:tcW w:w="1577" w:type="dxa"/>
        </w:tcPr>
        <w:p w:rsidR="00E7228C" w:rsidRPr="00ED7AAC" w:rsidRDefault="007A7705" w:rsidP="00E7228C">
          <w:pPr>
            <w:pStyle w:val="AralkYo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MYO</w:t>
          </w:r>
          <w:r w:rsidR="001778A7">
            <w:rPr>
              <w:rFonts w:ascii="Times New Roman" w:hAnsi="Times New Roman"/>
              <w:sz w:val="20"/>
              <w:szCs w:val="20"/>
            </w:rPr>
            <w:t>.GT.</w:t>
          </w:r>
          <w:r w:rsidR="00E7228C">
            <w:rPr>
              <w:rFonts w:ascii="Times New Roman" w:hAnsi="Times New Roman"/>
              <w:sz w:val="20"/>
              <w:szCs w:val="20"/>
            </w:rPr>
            <w:t>015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İlk Yayın Tarihi</w:t>
          </w:r>
        </w:p>
      </w:tc>
      <w:tc>
        <w:tcPr>
          <w:tcW w:w="1577" w:type="dxa"/>
          <w:vAlign w:val="center"/>
        </w:tcPr>
        <w:p w:rsidR="001778A7" w:rsidRPr="008F1F14" w:rsidRDefault="00CD7EF9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noProof/>
              <w:sz w:val="20"/>
              <w:szCs w:val="20"/>
              <w:lang w:eastAsia="tr-TR"/>
            </w:rPr>
            <w:t>18.11</w:t>
          </w:r>
          <w:r w:rsidR="001778A7"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.2019</w:t>
          </w:r>
        </w:p>
      </w:tc>
    </w:tr>
    <w:tr w:rsidR="001778A7" w:rsidRPr="008F1F14" w:rsidTr="00ED0997">
      <w:trPr>
        <w:trHeight w:val="326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Tarihi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Revizyon No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8F1F14">
            <w:rPr>
              <w:rFonts w:ascii="Times New Roman" w:hAnsi="Times New Roman"/>
              <w:noProof/>
              <w:sz w:val="20"/>
              <w:szCs w:val="20"/>
              <w:lang w:eastAsia="tr-TR"/>
            </w:rPr>
            <w:t>-</w:t>
          </w:r>
        </w:p>
      </w:tc>
    </w:tr>
    <w:tr w:rsidR="001778A7" w:rsidRPr="008F1F14" w:rsidTr="00ED0997">
      <w:trPr>
        <w:trHeight w:val="311"/>
      </w:trPr>
      <w:tc>
        <w:tcPr>
          <w:tcW w:w="1439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left" w:pos="285"/>
              <w:tab w:val="left" w:pos="1530"/>
            </w:tabs>
            <w:jc w:val="center"/>
            <w:rPr>
              <w:rFonts w:ascii="Times New Roman" w:hAnsi="Times New Roman"/>
              <w:noProof/>
              <w:lang w:eastAsia="tr-TR"/>
            </w:rPr>
          </w:pPr>
        </w:p>
      </w:tc>
      <w:tc>
        <w:tcPr>
          <w:tcW w:w="6318" w:type="dxa"/>
          <w:vMerge/>
          <w:vAlign w:val="center"/>
        </w:tcPr>
        <w:p w:rsidR="001778A7" w:rsidRPr="008F1F14" w:rsidRDefault="001778A7" w:rsidP="001778A7">
          <w:pPr>
            <w:pStyle w:val="stbilgi"/>
            <w:tabs>
              <w:tab w:val="center" w:pos="2127"/>
            </w:tabs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508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sz w:val="20"/>
              <w:szCs w:val="20"/>
            </w:rPr>
          </w:pPr>
          <w:r w:rsidRPr="008F1F14">
            <w:rPr>
              <w:rFonts w:ascii="Times New Roman" w:hAnsi="Times New Roman"/>
              <w:sz w:val="20"/>
              <w:szCs w:val="20"/>
            </w:rPr>
            <w:t>Sayfa</w:t>
          </w:r>
        </w:p>
      </w:tc>
      <w:tc>
        <w:tcPr>
          <w:tcW w:w="1577" w:type="dxa"/>
          <w:vAlign w:val="center"/>
        </w:tcPr>
        <w:p w:rsidR="001778A7" w:rsidRPr="008F1F14" w:rsidRDefault="001778A7" w:rsidP="001778A7">
          <w:pPr>
            <w:pStyle w:val="stbilgi"/>
            <w:rPr>
              <w:rFonts w:ascii="Times New Roman" w:hAnsi="Times New Roman"/>
              <w:noProof/>
              <w:sz w:val="20"/>
              <w:szCs w:val="20"/>
              <w:lang w:eastAsia="tr-TR"/>
            </w:rPr>
          </w:pP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PAGE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E7228C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1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  <w:r w:rsidRPr="001778A7">
            <w:rPr>
              <w:rFonts w:ascii="Times New Roman" w:hAnsi="Times New Roman"/>
              <w:noProof/>
              <w:sz w:val="20"/>
              <w:szCs w:val="20"/>
              <w:lang w:eastAsia="tr-TR"/>
            </w:rPr>
            <w:t xml:space="preserve"> / 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begin"/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instrText>NUMPAGES  \* Arabic  \* MERGEFORMAT</w:instrTex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separate"/>
          </w:r>
          <w:r w:rsidR="00E7228C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t>2</w:t>
          </w:r>
          <w:r w:rsidRPr="001778A7">
            <w:rPr>
              <w:rFonts w:ascii="Times New Roman" w:hAnsi="Times New Roman"/>
              <w:b/>
              <w:bCs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1778A7" w:rsidRDefault="001778A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ECF"/>
    <w:multiLevelType w:val="multilevel"/>
    <w:tmpl w:val="61E4E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5E7502"/>
    <w:multiLevelType w:val="hybridMultilevel"/>
    <w:tmpl w:val="E4A40C2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E1061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47710C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8285C"/>
    <w:multiLevelType w:val="multilevel"/>
    <w:tmpl w:val="0F860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3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1"/>
  </w:num>
  <w:num w:numId="17">
    <w:abstractNumId w:val="10"/>
  </w:num>
  <w:num w:numId="18">
    <w:abstractNumId w:val="12"/>
  </w:num>
  <w:num w:numId="19">
    <w:abstractNumId w:val="2"/>
  </w:num>
  <w:num w:numId="20">
    <w:abstractNumId w:val="4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366BD"/>
    <w:rsid w:val="00043790"/>
    <w:rsid w:val="000B1BE5"/>
    <w:rsid w:val="000B21E6"/>
    <w:rsid w:val="000F1408"/>
    <w:rsid w:val="00106A90"/>
    <w:rsid w:val="00136599"/>
    <w:rsid w:val="001778A7"/>
    <w:rsid w:val="00181F39"/>
    <w:rsid w:val="00191471"/>
    <w:rsid w:val="001F52C0"/>
    <w:rsid w:val="002228A7"/>
    <w:rsid w:val="002427C0"/>
    <w:rsid w:val="0025055E"/>
    <w:rsid w:val="00252BA4"/>
    <w:rsid w:val="002D5E5F"/>
    <w:rsid w:val="00322F61"/>
    <w:rsid w:val="00341F5F"/>
    <w:rsid w:val="003A5BA3"/>
    <w:rsid w:val="003B4AEB"/>
    <w:rsid w:val="003D7311"/>
    <w:rsid w:val="003F7280"/>
    <w:rsid w:val="00422518"/>
    <w:rsid w:val="004278D8"/>
    <w:rsid w:val="004459F1"/>
    <w:rsid w:val="00485643"/>
    <w:rsid w:val="004B476A"/>
    <w:rsid w:val="004B6519"/>
    <w:rsid w:val="00516407"/>
    <w:rsid w:val="00526376"/>
    <w:rsid w:val="00535BC3"/>
    <w:rsid w:val="00616C0E"/>
    <w:rsid w:val="00641F0B"/>
    <w:rsid w:val="00646870"/>
    <w:rsid w:val="006A43E5"/>
    <w:rsid w:val="006E274B"/>
    <w:rsid w:val="007A13B6"/>
    <w:rsid w:val="007A3A48"/>
    <w:rsid w:val="007A53F1"/>
    <w:rsid w:val="007A7705"/>
    <w:rsid w:val="007E3F06"/>
    <w:rsid w:val="007F2FE8"/>
    <w:rsid w:val="008250EF"/>
    <w:rsid w:val="0084439C"/>
    <w:rsid w:val="0086779D"/>
    <w:rsid w:val="008C19F6"/>
    <w:rsid w:val="008D0DF7"/>
    <w:rsid w:val="008F1F14"/>
    <w:rsid w:val="00921A60"/>
    <w:rsid w:val="009A56BB"/>
    <w:rsid w:val="009B343C"/>
    <w:rsid w:val="009F1A58"/>
    <w:rsid w:val="00A95EBD"/>
    <w:rsid w:val="00B53DE1"/>
    <w:rsid w:val="00B74527"/>
    <w:rsid w:val="00B81CC8"/>
    <w:rsid w:val="00BD477E"/>
    <w:rsid w:val="00BD512D"/>
    <w:rsid w:val="00C518C3"/>
    <w:rsid w:val="00C86281"/>
    <w:rsid w:val="00CD7EF9"/>
    <w:rsid w:val="00CE597E"/>
    <w:rsid w:val="00D01527"/>
    <w:rsid w:val="00D05DED"/>
    <w:rsid w:val="00D35533"/>
    <w:rsid w:val="00DB020B"/>
    <w:rsid w:val="00E44B85"/>
    <w:rsid w:val="00E45666"/>
    <w:rsid w:val="00E7228C"/>
    <w:rsid w:val="00E94756"/>
    <w:rsid w:val="00EA7F17"/>
    <w:rsid w:val="00ED7AAC"/>
    <w:rsid w:val="00F16375"/>
    <w:rsid w:val="00F34A52"/>
    <w:rsid w:val="00F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D49604-5770-4675-80C4-9767529C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BB9F3-037F-4471-92A7-CC228EB0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seda-simsek</dc:creator>
  <cp:lastModifiedBy>SBMYO</cp:lastModifiedBy>
  <cp:revision>13</cp:revision>
  <dcterms:created xsi:type="dcterms:W3CDTF">2019-01-24T12:48:00Z</dcterms:created>
  <dcterms:modified xsi:type="dcterms:W3CDTF">2019-11-26T08:19:00Z</dcterms:modified>
</cp:coreProperties>
</file>